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color w:val="0000ff"/>
        </w:rPr>
      </w:pPr>
      <w:r w:rsidDel="00000000" w:rsidR="00000000" w:rsidRPr="00000000">
        <w:rPr>
          <w:b w:val="1"/>
          <w:color w:val="0000ff"/>
          <w:rtl w:val="0"/>
        </w:rPr>
        <w:t xml:space="preserve">Stížnost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To všechno jsou věci, které nám dávají smysl a dělají nám radost. Co nás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naopak nepotěšilo, byla stížnost, kterou na škole v červnu řešila Česká 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školní inspekce.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  <w:t xml:space="preserve">O co šlo? Někteří rodiče si stěžovali na postup školy v pří-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padě programu, který proběhl v dubnu pod názvem Participace. Zúčastnili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se ho žáci 3.–9. tříd. V rámci dvouhodinového bloku se dozvěděli, jak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funguje městské plánování, a na příkladu naší obce diskutovali o tom, co 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  <w:t xml:space="preserve">určuje kvalitu života a kde jsou příležitosti pro zlepšení. V interaktivní části 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  <w:t xml:space="preserve">se nad mapou Lipenců zamýšleli nad tím, co se jim v Lipencích líbí, co se 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jim nelíbí a co jim tu chybí. Cílem programu bylo mimo jiné pozitivně děti 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motivovat k zájmu o veřejný prostor.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Protože stížnost byla anonymní, resp. rodiče chtěli zůstat v anonymitě,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přesné znění stížnosti škola v době šetření neměla k dispozici. Reagovali 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jsme na informaci paní inspektorky, že „děti byly zneužity, resp. názory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  <w:t xml:space="preserve">dětí byly prezentovány ve prospěch soukromé společnosti jako názor ve-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řejnosti“.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U každého workshopu byli učitelé, několika workshopů se zúčastnil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  <w:t xml:space="preserve">někdo z vedení školy. Jsme si tedy jisti, že k žádnému zneužití žáků ve 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prospěch zájmů soukromé společnosti nedošlo. Vše naopak nasvědčuje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tomu, že rodiče, kteří stížnost sepsali, zneužili Českou školní inspekci 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v boji proti zamýšlené výstavbě. Anonymizované znění stížnosti, závěr 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ČŠI, vyjádření školy i stanovisko Rady městské části Praha-Lipence jsou </w:t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  <w:t xml:space="preserve">ke stažení na webových stránkách obce.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  <w:t xml:space="preserve">Mrzí nás forma, kterou tito rodiče použili pro řešení svých problémů. Ni-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kdo z nich školu před tím neoslovil, aby si zjistil více informací o projektu,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o jehož organizaci jsme předem informovali. Oznámení na ČŠI by měl být až poslední krok v případě nespokojenosti, když jsou vyčerpány všechny běžné komunikační cesty.</w:t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Zdroj: https://www.praha-lipence.cz/mestska-cast/zpravodaj/lipenecky-zpravodaj-4-2024-1452cs.html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