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MĚSTSKÁ ČÁST PRAHA-LIPENCE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Úřad městské části Praha-Lipence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 Obci 47, 155 31 Praha 5 – Lipence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Č.j.:</w:t>
        <w:tab/>
        <w:tab/>
        <w:tab/>
        <w:tab/>
        <w:tab/>
        <w:tab/>
        <w:tab/>
        <w:tab/>
        <w:tab/>
        <w:t xml:space="preserve">V Praze dne xx. března 2025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Magistrát hlavního města Prahy </w:t>
        <w:tab/>
        <w:tab/>
        <w:tab/>
        <w:tab/>
        <w:tab/>
      </w:r>
      <w:r w:rsidDel="00000000" w:rsidR="00000000" w:rsidRPr="00000000">
        <w:rPr>
          <w:rtl w:val="0"/>
        </w:rPr>
        <w:t xml:space="preserve">Počet listů: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Odbor územního rozvoje</w:t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Přílohy: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Jungmannova 35/29</w:t>
      </w:r>
    </w:p>
    <w:p w:rsidR="00000000" w:rsidDel="00000000" w:rsidP="00000000" w:rsidRDefault="00000000" w:rsidRPr="00000000" w14:paraId="0000000A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110 00 Praha 1 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DS: 48ia97h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Připomínky městské části Praha – Lipence k návrhu změny č. 15 Zásad územního rozvoje hlavního města Prahy</w:t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Zastupitelstvo MČ Praha Lipence, podle ustanovení § 89 odst. 1 písm. d) zákona č. 131/2000 Sb., o hlavním městě Praze v souladu s § 97 zákona č. 283/2021 Sb., stavební zákon, uplatňuje následující připomínky k návrhu změny č. 15 Zásad územního rozvoje hlavního města Prahy.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části 1.2 Uspořádání města písm. m) se za slova „při zachování kvality otevřené krajiny“ doplňují slova „s respektem k hodnotovým potřebám a fungujícímu uspořádání společnosti na území těchto sídel“.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připomínka je zásadní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Vymezení území dotčeného připomínkou: Hlavní město Praha – všechny MČ a všechna katastrální území v Přípraží.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Odůvodnění: Přípraží, jakožto příměstský krajinný prostor za okrajem města tvořený otevřenou krajinou a příměstskými sídly, která otevřenou krajinu obklopuje, má v obecné rovině odlišnou demografickou strukturu než prostor městské krajiny. Demografická struktura sídel, původně samostatných obcí, v Přípraží vychází z historického vývoje těchto sídel, který byl formován odlišně a s nižší dynamikou než prostor městské krajiny Prahy. Převážná většina obyvatel sídel v Přípraží bydlí v rodinných domech se způsobem života, který se k tomu obvykle váže. Část obyvatelstva sídel v Přípraží tenduje k původnímu rurálnímu charakteru uspořádání, spíše však ke způsobu života typického pro suburbanizované předměstí. Způsob života a sociální interakce místních komunit má blíže způsobu života v samostatných obcích Středočeského kraje než ve vnitřním městském prostředí Prahy.  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Respekt k hodnotovým potřebám a fungujícímu uspořádání společnosti je esenciálním předpokladem pro uskutečňování úspěšných rozvojových změn v původních sídlech. Bez zohlednění předmětného paradigmatu v navazující územně plánovací dokumentaci existuje vysoké riziko vytvoření nefungujících společenství, trvalého znehodnocení území nevhodně zvolenou strukturou rozvoje a vzniku mnoha negativních externalit, které budou ve svém důsledku velmi obtížně řešitelné. Bude-li navazující územně plánovací dokumentace zohledňovat i navrhované východisko, lze důvodně předpokládat kvalitnější formování územního rozvoje vzhledem ke všem specifikům Přípraží.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části NSO73– Specifická oblast Soutok Vltavy a Berounky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– Úkoly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 navazující ÚPD písm. d) se za slova „vyřešit dopravní obsluhu území“ doplňují slova „včetně zohlednění specifických podmínek okolního území dotčených sídel v Přípraží“.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Vymezení území dotčeného připomínkou: Hlavní město Praha, MČ Praha – Velká Chuchle, MČ Praha – Lahovice, MČ Praha – Zbraslav, MČ Praha – Radotín, MČ Praha – Lipence a katastrální území na území těchto dotčených MČ.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Odůvodnění: Řešená specifická oblast projde v budoucnu významnou transformací v souvislosti s předpokládanou realizací příměstského parku Soutok. Vyřešení dopravní obsluhy území však nemůže být vázáno pouze na zajištění funkcí příměstského parku, který bude sám o sobě generovat v území určitý nárůst dopravní zátěže. Stávající kapacitu silniční sítě ve specifické oblasti i okolním území nelze hodnotit jako uspokojivou a bez zohlednění vazeb na stávající i rozvojové požadavky na dopravní síť okolního území může dojít v okolním území k nárůstu zátěže spojené zejména, nikoliv však výlučně, s automobilovou dopravou.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Formulační doplnění podmínky spočívající v koordinovaném postupu pro vytvoření návrhu obsluhy území s vlivy a dopravní predikcí okolního území vytvoří synergický efekt, který pozitivně ovlivní podobu navazující územně plánovací dokumentace a v budoucnu celkovou dopravní situaci v širším území.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